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b/>
          <w:bCs/>
          <w:color w:val="1B2A4A"/>
          <w:sz w:val="38"/>
          <w:szCs w:val="38"/>
        </w:rPr>
        <w:t xml:space="preserve">CHECKLISTA AUDYTORA</w:t>
      </w:r>
    </w:p>
    <w:p>
      <w:pPr>
        <w:spacing w:after="200"/>
        <w:jc w:val="center"/>
      </w:pPr>
      <w:r>
        <w:rPr>
          <w:i/>
          <w:iCs/>
          <w:color w:val="6B7280"/>
          <w:sz w:val="20"/>
          <w:szCs w:val="20"/>
        </w:rPr>
        <w:t xml:space="preserve">Certyfikacja ekipy remontowej — program „Pewna Ekipa” (MS-REM 001:2026)</w:t>
      </w:r>
    </w:p>
    <w:p>
      <w:pPr>
        <w:spacing w:after="120"/>
      </w:pPr>
      <w:r>
        <w:rPr>
          <w:b/>
          <w:bCs/>
        </w:rPr>
        <w:t xml:space="preserve">Ekipa / firma: </w:t>
      </w:r>
      <w:r>
        <w:rPr>
          <w:color w:val="6B7280"/>
        </w:rPr>
        <w:t xml:space="preserve">[……………]</w:t>
      </w:r>
      <w:r>
        <w:t xml:space="preserve">    NIP: </w:t>
      </w:r>
      <w:r>
        <w:rPr>
          <w:color w:val="6B7280"/>
        </w:rPr>
        <w:t xml:space="preserve">[……]</w:t>
      </w:r>
    </w:p>
    <w:p>
      <w:pPr>
        <w:spacing w:after="120"/>
      </w:pPr>
      <w:r>
        <w:rPr>
          <w:b/>
          <w:bCs/>
        </w:rPr>
        <w:t xml:space="preserve">Data audytu: </w:t>
      </w:r>
      <w:r>
        <w:rPr>
          <w:color w:val="6B7280"/>
        </w:rPr>
        <w:t xml:space="preserve">[……]</w:t>
      </w:r>
      <w:r>
        <w:t xml:space="preserve">    Audytor: </w:t>
      </w:r>
      <w:r>
        <w:rPr>
          <w:color w:val="6B7280"/>
        </w:rPr>
        <w:t xml:space="preserve">[……………]</w:t>
      </w:r>
      <w:r>
        <w:t xml:space="preserve">    Ścieżka: </w:t>
      </w:r>
      <w:r>
        <w:rPr>
          <w:color w:val="6B7280"/>
        </w:rPr>
        <w:t xml:space="preserve">[ogólna / energetyczna]</w:t>
      </w:r>
    </w:p>
    <w:p>
      <w:pPr>
        <w:pBdr>
          <w:left w:val="single" w:color="B11A1A" w:sz="18" w:space="8"/>
        </w:pBdr>
        <w:shd w:fill="FBEBEA" w:val="clear"/>
        <w:spacing w:after="160" w:before="120"/>
      </w:pPr>
      <w:r>
        <w:rPr>
          <w:b/>
          <w:bCs/>
          <w:color w:val="B11A1A"/>
        </w:rPr>
        <w:t xml:space="preserve">Zasada audytu (wzór PAS 2030): </w:t>
      </w:r>
      <w:r>
        <w:t xml:space="preserve">certyfikat opiera się na DOWODACH, nie deklaracjach. Audyt łączy przegląd dokumentów, wywiad oraz </w:t>
      </w:r>
      <w:r>
        <w:rPr>
          <w:b/>
          <w:bCs/>
        </w:rPr>
        <w:t xml:space="preserve">inspekcję co najmniej jednej realnej realizacji</w:t>
      </w:r>
      <w:r>
        <w:t xml:space="preserve">. Brak inspekcji = brak certyfikatu.</w:t>
      </w:r>
    </w:p>
    <w:p>
      <w:pPr>
        <w:pStyle w:val="Heading2"/>
      </w:pPr>
      <w:r>
        <w:t xml:space="preserve">A. Dokumenty i sytuacja prawno-finansowa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138"/>
        <w:gridCol w:w="900"/>
        <w:gridCol w:w="900"/>
        <w:gridCol w:w="1700"/>
      </w:tblGrid>
      <w:tr>
        <w:trPr>
          <w:tblHeader/>
        </w:trPr>
        <w:tc>
          <w:tcPr>
            <w:tcW w:type="dxa" w:w="6138"/>
            <w:shd w:fill="1B2A4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Kryterium</w:t>
            </w:r>
          </w:p>
        </w:tc>
        <w:tc>
          <w:tcPr>
            <w:tcW w:type="dxa" w:w="900"/>
            <w:shd w:fill="1B2A4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Spełnia</w:t>
            </w:r>
          </w:p>
        </w:tc>
        <w:tc>
          <w:tcPr>
            <w:tcW w:type="dxa" w:w="900"/>
            <w:shd w:fill="1B2A4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Nie</w:t>
            </w:r>
          </w:p>
        </w:tc>
        <w:tc>
          <w:tcPr>
            <w:tcW w:type="dxa" w:w="1700"/>
            <w:shd w:fill="1B2A4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Uwagi</w:t>
            </w:r>
          </w:p>
        </w:tc>
      </w:tr>
      <w:tr>
        <w:tc>
          <w:tcPr>
            <w:tcW w:type="dxa" w:w="6138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Wpis do KRS/CEIDG zgodny, działalność aktywna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dxa" w:w="1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138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Brak istotnych zaległości (weryfikacja w rejestrach długów)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dxa" w:w="1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138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Ważne ubezpieczenie OC — okazana polisa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dxa" w:w="1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138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Stosowanie umów pisemnych z jasnym zakresem (wzór zgodny ze standardem)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dxa" w:w="1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138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Udzielanie gwarancji na prace i jasne zasady rękojmi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dxa" w:w="1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138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Bezpieczny harmonogram płatności (zaliczka ≤ 20%, transze po odbiorach)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dxa" w:w="1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</w:tr>
    </w:tbl>
    <w:p>
      <w:pPr>
        <w:pStyle w:val="Heading2"/>
      </w:pPr>
      <w:r>
        <w:t xml:space="preserve">B. Kompetencje i doświadczenie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138"/>
        <w:gridCol w:w="900"/>
        <w:gridCol w:w="900"/>
        <w:gridCol w:w="1700"/>
      </w:tblGrid>
      <w:tr>
        <w:trPr>
          <w:tblHeader/>
        </w:trPr>
        <w:tc>
          <w:tcPr>
            <w:tcW w:type="dxa" w:w="6138"/>
            <w:shd w:fill="1B2A4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Kryterium</w:t>
            </w:r>
          </w:p>
        </w:tc>
        <w:tc>
          <w:tcPr>
            <w:tcW w:type="dxa" w:w="900"/>
            <w:shd w:fill="1B2A4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Spełnia</w:t>
            </w:r>
          </w:p>
        </w:tc>
        <w:tc>
          <w:tcPr>
            <w:tcW w:type="dxa" w:w="900"/>
            <w:shd w:fill="1B2A4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Nie</w:t>
            </w:r>
          </w:p>
        </w:tc>
        <w:tc>
          <w:tcPr>
            <w:tcW w:type="dxa" w:w="1700"/>
            <w:shd w:fill="1B2A4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Uwagi</w:t>
            </w:r>
          </w:p>
        </w:tc>
      </w:tr>
      <w:tr>
        <w:tc>
          <w:tcPr>
            <w:tcW w:type="dxa" w:w="6138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Udokumentowane kwalifikacje / uprawnienia adekwatne do zakresu prac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dxa" w:w="1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138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Szkolenia personelu (w tym BHP) — aktualne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dxa" w:w="1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138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Portfolio zrealizowanych prac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dxa" w:w="1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138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Referencje od poprzednich klientów (min. 2, możliwe do potwierdzenia)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dxa" w:w="1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</w:tr>
    </w:tbl>
    <w:p>
      <w:pPr>
        <w:pStyle w:val="Heading2"/>
      </w:pPr>
      <w:r>
        <w:t xml:space="preserve">C. Inspekcja realizacji (on-site) — obowiązkowa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138"/>
        <w:gridCol w:w="900"/>
        <w:gridCol w:w="900"/>
        <w:gridCol w:w="1700"/>
      </w:tblGrid>
      <w:tr>
        <w:trPr>
          <w:tblHeader/>
        </w:trPr>
        <w:tc>
          <w:tcPr>
            <w:tcW w:type="dxa" w:w="6138"/>
            <w:shd w:fill="1B2A4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Kryterium</w:t>
            </w:r>
          </w:p>
        </w:tc>
        <w:tc>
          <w:tcPr>
            <w:tcW w:type="dxa" w:w="900"/>
            <w:shd w:fill="1B2A4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Spełnia</w:t>
            </w:r>
          </w:p>
        </w:tc>
        <w:tc>
          <w:tcPr>
            <w:tcW w:type="dxa" w:w="900"/>
            <w:shd w:fill="1B2A4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Nie</w:t>
            </w:r>
          </w:p>
        </w:tc>
        <w:tc>
          <w:tcPr>
            <w:tcW w:type="dxa" w:w="1700"/>
            <w:shd w:fill="1B2A4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Uwagi</w:t>
            </w:r>
          </w:p>
        </w:tc>
      </w:tr>
      <w:tr>
        <w:tc>
          <w:tcPr>
            <w:tcW w:type="dxa" w:w="6138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Obejrzano co najmniej jedną realizację (zakończoną lub w toku)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dxa" w:w="1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138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Jakość wykonania zgodna ze sztuką i umową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dxa" w:w="1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138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Zgodność prac z dokumentacją i kosztorysem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dxa" w:w="1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138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Porządek, zabezpieczenie mienia i przestrzeganie BHP na budowie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dxa" w:w="1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138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Prowadzenie protokołów odbioru etapowego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dxa" w:w="1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</w:tr>
    </w:tbl>
    <w:p>
      <w:pPr>
        <w:pStyle w:val="Heading2"/>
      </w:pPr>
      <w:r>
        <w:t xml:space="preserve">D. Proces, reklamacje i kodeks postępowania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138"/>
        <w:gridCol w:w="900"/>
        <w:gridCol w:w="900"/>
        <w:gridCol w:w="1700"/>
      </w:tblGrid>
      <w:tr>
        <w:trPr>
          <w:tblHeader/>
        </w:trPr>
        <w:tc>
          <w:tcPr>
            <w:tcW w:type="dxa" w:w="6138"/>
            <w:shd w:fill="1B2A4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Kryterium</w:t>
            </w:r>
          </w:p>
        </w:tc>
        <w:tc>
          <w:tcPr>
            <w:tcW w:type="dxa" w:w="900"/>
            <w:shd w:fill="1B2A4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Spełnia</w:t>
            </w:r>
          </w:p>
        </w:tc>
        <w:tc>
          <w:tcPr>
            <w:tcW w:type="dxa" w:w="900"/>
            <w:shd w:fill="1B2A4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Nie</w:t>
            </w:r>
          </w:p>
        </w:tc>
        <w:tc>
          <w:tcPr>
            <w:tcW w:type="dxa" w:w="1700"/>
            <w:shd w:fill="1B2A4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Uwagi</w:t>
            </w:r>
          </w:p>
        </w:tc>
      </w:tr>
      <w:tr>
        <w:tc>
          <w:tcPr>
            <w:tcW w:type="dxa" w:w="6138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Powtarzalny proces realizacji (harmonogram, odbiory, kontrola jakości)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dxa" w:w="1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138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Jasna ścieżka obsługi reklamacji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dxa" w:w="1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138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Przestrzeganie Kodeksu postępowania „Pewna Ekipa” (uczciwa komunikacja, rzetelne rozliczenia)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dxa" w:w="1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</w:tr>
    </w:tbl>
    <w:p>
      <w:pPr>
        <w:pStyle w:val="Heading2"/>
      </w:pPr>
      <w:r>
        <w:t xml:space="preserve">E. Ścieżka energetyczna (PAS 2035/2030) — jeśli dotyczy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138"/>
        <w:gridCol w:w="900"/>
        <w:gridCol w:w="900"/>
        <w:gridCol w:w="1700"/>
      </w:tblGrid>
      <w:tr>
        <w:trPr>
          <w:tblHeader/>
        </w:trPr>
        <w:tc>
          <w:tcPr>
            <w:tcW w:type="dxa" w:w="6138"/>
            <w:shd w:fill="1B2A4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Kryterium</w:t>
            </w:r>
          </w:p>
        </w:tc>
        <w:tc>
          <w:tcPr>
            <w:tcW w:type="dxa" w:w="900"/>
            <w:shd w:fill="1B2A4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Spełnia</w:t>
            </w:r>
          </w:p>
        </w:tc>
        <w:tc>
          <w:tcPr>
            <w:tcW w:type="dxa" w:w="900"/>
            <w:shd w:fill="1B2A4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Nie</w:t>
            </w:r>
          </w:p>
        </w:tc>
        <w:tc>
          <w:tcPr>
            <w:tcW w:type="dxa" w:w="1700"/>
            <w:shd w:fill="1B2A4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Uwagi</w:t>
            </w:r>
          </w:p>
        </w:tc>
      </w:tr>
      <w:tr>
        <w:tc>
          <w:tcPr>
            <w:tcW w:type="dxa" w:w="6138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Wykonywanie oceny budynku przed remontem energetycznym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dxa" w:w="1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138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Plan remontu uwzględniający wentylację i ryzyko wilgoci (whole-house)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dxa" w:w="1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138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Protokoły rozruchu i przekazania instalacji + szkolenie użytkownika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dxa" w:w="1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138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Dobór mocy źródła ciepła po redukcji strat (właściwa kolejność)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dxa" w:w="1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</w:tr>
    </w:tbl>
    <w:p>
      <w:pPr>
        <w:pStyle w:val="Heading2"/>
      </w:pPr>
      <w:r>
        <w:t xml:space="preserve">Niezgodności i termin usunięcia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2000"/>
        <w:gridCol w:w="4038"/>
        <w:gridCol w:w="3000"/>
      </w:tblGrid>
      <w:tr>
        <w:trPr>
          <w:tblHeader/>
        </w:trPr>
        <w:tc>
          <w:tcPr>
            <w:tcW w:type="dxa" w:w="600"/>
            <w:shd w:fill="1B2A4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Lp.</w:t>
            </w:r>
          </w:p>
        </w:tc>
        <w:tc>
          <w:tcPr>
            <w:tcW w:type="dxa" w:w="2000"/>
            <w:shd w:fill="1B2A4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Kategoria</w:t>
            </w:r>
          </w:p>
        </w:tc>
        <w:tc>
          <w:tcPr>
            <w:tcW w:type="dxa" w:w="4038"/>
            <w:shd w:fill="1B2A4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Opis niezgodności</w:t>
            </w:r>
          </w:p>
        </w:tc>
        <w:tc>
          <w:tcPr>
            <w:tcW w:type="dxa" w:w="3000"/>
            <w:shd w:fill="1B2A4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Termin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20"/>
              <w:left w:type="dxa" w:w="90"/>
              <w:bottom w:type="dxa" w:w="12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20"/>
              <w:left w:type="dxa" w:w="90"/>
              <w:bottom w:type="dxa" w:w="12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>[duża/mała]</w:t>
            </w:r>
          </w:p>
        </w:tc>
        <w:tc>
          <w:tcPr>
            <w:tcW w:type="dxa" w:w="4038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20"/>
              <w:left w:type="dxa" w:w="90"/>
              <w:bottom w:type="dxa" w:w="12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20"/>
              <w:left w:type="dxa" w:w="90"/>
              <w:bottom w:type="dxa" w:w="12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20"/>
              <w:left w:type="dxa" w:w="90"/>
              <w:bottom w:type="dxa" w:w="12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20"/>
              <w:left w:type="dxa" w:w="90"/>
              <w:bottom w:type="dxa" w:w="12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>[duża/mała]</w:t>
            </w:r>
          </w:p>
        </w:tc>
        <w:tc>
          <w:tcPr>
            <w:tcW w:type="dxa" w:w="4038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20"/>
              <w:left w:type="dxa" w:w="90"/>
              <w:bottom w:type="dxa" w:w="12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20"/>
              <w:left w:type="dxa" w:w="90"/>
              <w:bottom w:type="dxa" w:w="12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20"/>
              <w:left w:type="dxa" w:w="90"/>
              <w:bottom w:type="dxa" w:w="12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>3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20"/>
              <w:left w:type="dxa" w:w="90"/>
              <w:bottom w:type="dxa" w:w="12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>[duża/mała]</w:t>
            </w:r>
          </w:p>
        </w:tc>
        <w:tc>
          <w:tcPr>
            <w:tcW w:type="dxa" w:w="4038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20"/>
              <w:left w:type="dxa" w:w="90"/>
              <w:bottom w:type="dxa" w:w="12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20"/>
              <w:left w:type="dxa" w:w="90"/>
              <w:bottom w:type="dxa" w:w="12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</w:tbl>
    <w:p>
      <w:pPr>
        <w:pBdr>
          <w:left w:val="single" w:color="B11A1A" w:sz="18" w:space="8"/>
        </w:pBdr>
        <w:shd w:fill="FBEBEA" w:val="clear"/>
        <w:spacing w:after="160" w:before="120"/>
      </w:pPr>
      <w:r>
        <w:rPr>
          <w:b/>
          <w:bCs/>
        </w:rPr>
        <w:t xml:space="preserve">Wynik: </w:t>
      </w:r>
      <w:r>
        <w:t xml:space="preserve">audyt nie jest „zdał/oblał”. Niezgodności duże wymagają usunięcia (zwykle do 6 tygodni) przed wydaniem certyfikatu; małe — w uzgodnionym terminie, monitorowane w nadzorze.</w:t>
      </w:r>
    </w:p>
    <w:p>
      <w:pPr>
        <w:pStyle w:val="Heading2"/>
      </w:pPr>
      <w:r>
        <w:t xml:space="preserve">Decyzja audytora (rekomendacja)</w:t>
      </w:r>
    </w:p>
    <w:p>
      <w:pPr>
        <w:spacing w:after="120"/>
      </w:pPr>
      <w:r>
        <w:t xml:space="preserve">☐  Rekomendacja wydania certyfikatu    ☐  Warunkowa (po usunięciu niezgodności)    ☐  Odmowa</w:t>
      </w:r>
    </w:p>
    <w:p>
      <w:pPr>
        <w:spacing w:after="240"/>
      </w:pPr>
      <w:r>
        <w:t xml:space="preserve">Uzasadnienie: </w:t>
      </w:r>
      <w:r>
        <w:rPr>
          <w:color w:val="6B7280"/>
        </w:rPr>
        <w:t xml:space="preserve">[……………………………………………………]</w:t>
      </w:r>
    </w:p>
    <w:tbl>
      <w:tblPr>
        <w:tblW w:type="dxa" w:w="9638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type="dxa" w:w="400"/>
              <w:left w:type="dxa" w:w="100"/>
              <w:right w:type="dxa" w:w="100"/>
            </w:tcMar>
          </w:tcPr>
          <w:p>
            <w:pPr>
              <w:pBdr>
                <w:top w:val="single" w:color="999999" w:sz="6" w:space="4"/>
              </w:pBdr>
            </w:pPr>
            <w:r>
              <w:rPr>
                <w:color w:val="6B7280"/>
                <w:sz w:val="19"/>
                <w:szCs w:val="19"/>
              </w:rPr>
              <w:t xml:space="preserve">Audytor</w:t>
            </w:r>
          </w:p>
        </w:tc>
        <w:tc>
          <w:tcPr>
            <w:tcW w:type="dxa" w:w="4819"/>
            <w:tcMar>
              <w:top w:type="dxa" w:w="400"/>
              <w:left w:type="dxa" w:w="100"/>
              <w:right w:type="dxa" w:w="100"/>
            </w:tcMar>
          </w:tcPr>
          <w:p>
            <w:pPr>
              <w:pBdr>
                <w:top w:val="single" w:color="999999" w:sz="6" w:space="4"/>
              </w:pBdr>
            </w:pPr>
            <w:r>
              <w:rPr>
                <w:color w:val="6B7280"/>
                <w:sz w:val="19"/>
                <w:szCs w:val="19"/>
              </w:rPr>
              <w:t xml:space="preserve">Przedstawiciel ekipy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B7280"/>
        <w:sz w:val="16"/>
        <w:szCs w:val="16"/>
      </w:rPr>
      <w:t xml:space="preserve">Strona </w:t>
    </w:r>
    <w:r>
      <w:rPr>
        <w:color w:val="6B72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6B7280"/>
        <w:sz w:val="16"/>
        <w:szCs w:val="16"/>
      </w:rPr>
      <w:t xml:space="preserve"> · Dokument audytowy — do użytku audytora Multicert.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6B7280"/>
        <w:sz w:val="16"/>
        <w:szCs w:val="16"/>
      </w:rPr>
      <w:t xml:space="preserve">Załącznik C · </w:t>
    </w:r>
    <w:r>
      <w:rPr>
        <w:b/>
        <w:bCs/>
        <w:color w:val="B11A1A"/>
        <w:sz w:val="16"/>
        <w:szCs w:val="16"/>
      </w:rPr>
      <w:t xml:space="preserve">Pewna Ekipa</w:t>
    </w:r>
    <w:r>
      <w:rPr>
        <w:color w:val="6B7280"/>
        <w:sz w:val="16"/>
        <w:szCs w:val="16"/>
      </w:rPr>
      <w:t xml:space="preserve"> · MS-REM 001:2026 · Multicert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1B2A4A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2026-06-13T05:03:19.739Z</dcterms:created>
  <dcterms:modified xsi:type="dcterms:W3CDTF">2026-06-13T05:03:19.739Z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