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b/>
          <w:bCs/>
          <w:color w:val="1B2A4A"/>
          <w:sz w:val="36"/>
          <w:szCs w:val="36"/>
        </w:rPr>
        <w:t xml:space="preserve">PLAN REMONTU ENERGETYCZNEGO</w:t>
      </w:r>
    </w:p>
    <w:p>
      <w:pPr>
        <w:spacing w:after="240"/>
        <w:jc w:val="center"/>
      </w:pPr>
      <w:r>
        <w:rPr>
          <w:i/>
          <w:iCs/>
          <w:color w:val="6B7280"/>
          <w:sz w:val="20"/>
          <w:szCs w:val="20"/>
        </w:rPr>
        <w:t xml:space="preserve">(plan typu „whole-house” — wg podejścia PAS 2035)</w:t>
      </w:r>
    </w:p>
    <w:p>
      <w:pPr>
        <w:pBdr>
          <w:left w:val="single" w:color="B11A1A" w:sz="18" w:space="8"/>
        </w:pBdr>
        <w:shd w:fill="FBEBEA" w:val="clear"/>
        <w:spacing w:after="160" w:before="120"/>
      </w:pPr>
      <w:r>
        <w:rPr>
          <w:b/>
          <w:bCs/>
          <w:color w:val="B11A1A"/>
        </w:rPr>
        <w:t xml:space="preserve">Sedno PAS 2035: </w:t>
      </w:r>
      <w:r>
        <w:t xml:space="preserve">budynek traktuje się całościowo. Kolejność i dobór działań muszą uwzględniać wentylację i ryzyko wilgoci — ocieplenie bez wentylacji prowadzi do zawilgocenia. Plan jest podstawą rozliczenia dotacji.</w:t>
      </w:r>
    </w:p>
    <w:p>
      <w:pPr>
        <w:spacing w:after="120"/>
      </w:pPr>
      <w:r>
        <w:rPr>
          <w:b/>
          <w:bCs/>
        </w:rPr>
        <w:t xml:space="preserve">Adres: </w:t>
      </w:r>
      <w:r>
        <w:rPr>
          <w:color w:val="6B7280"/>
        </w:rPr>
        <w:t xml:space="preserve">[……………]</w:t>
      </w:r>
      <w:r>
        <w:t xml:space="preserve">    Na podstawie Karty oceny budynku z dnia </w:t>
      </w:r>
      <w:r>
        <w:rPr>
          <w:color w:val="6B7280"/>
        </w:rPr>
        <w:t xml:space="preserve">[……………]</w:t>
      </w:r>
    </w:p>
    <w:p>
      <w:pPr>
        <w:pStyle w:val="Heading2"/>
      </w:pPr>
      <w:r>
        <w:t xml:space="preserve">§1. Cele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Docelowa klasa energetyczna / redukcja zapotrzebowania: [……].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Cel kosztowy i zakładany udział dotacji (Czyste Powietrze / inne): [……].</w:t>
      </w:r>
    </w:p>
    <w:p>
      <w:pPr>
        <w:pStyle w:val="Heading2"/>
      </w:pPr>
      <w:r>
        <w:t xml:space="preserve">§2. Zakres i kolejność działań (whole-house)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4500"/>
        <w:gridCol w:w="2238"/>
        <w:gridCol w:w="2200"/>
      </w:tblGrid>
      <w:tr>
        <w:trPr>
          <w:tblHeader/>
        </w:trPr>
        <w:tc>
          <w:tcPr>
            <w:tcW w:type="dxa" w:w="700"/>
            <w:shd w:fill="1B2A4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Etap</w:t>
            </w:r>
          </w:p>
        </w:tc>
        <w:tc>
          <w:tcPr>
            <w:tcW w:type="dxa" w:w="4500"/>
            <w:shd w:fill="1B2A4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Działanie</w:t>
            </w:r>
          </w:p>
        </w:tc>
        <w:tc>
          <w:tcPr>
            <w:tcW w:type="dxa" w:w="2238"/>
            <w:shd w:fill="1B2A4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Efekt</w:t>
            </w:r>
          </w:p>
        </w:tc>
        <w:tc>
          <w:tcPr>
            <w:tcW w:type="dxa" w:w="2200"/>
            <w:shd w:fill="1B2A4A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Szac. koszt</w:t>
            </w:r>
          </w:p>
        </w:tc>
      </w:tr>
      <w:tr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type="dxa" w:w="4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>Szczelność i wentylacja</w:t>
            </w:r>
          </w:p>
        </w:tc>
        <w:tc>
          <w:tcPr>
            <w:tcW w:type="dxa" w:w="2238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>2</w:t>
            </w:r>
          </w:p>
        </w:tc>
        <w:tc>
          <w:tcPr>
            <w:tcW w:type="dxa" w:w="4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>Izolacja przegród (dach/ściany/podłoga)</w:t>
            </w:r>
          </w:p>
        </w:tc>
        <w:tc>
          <w:tcPr>
            <w:tcW w:type="dxa" w:w="2238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>3</w:t>
            </w:r>
          </w:p>
        </w:tc>
        <w:tc>
          <w:tcPr>
            <w:tcW w:type="dxa" w:w="4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>Wymiana okien i drzwi</w:t>
            </w:r>
          </w:p>
        </w:tc>
        <w:tc>
          <w:tcPr>
            <w:tcW w:type="dxa" w:w="2238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>4</w:t>
            </w:r>
          </w:p>
        </w:tc>
        <w:tc>
          <w:tcPr>
            <w:tcW w:type="dxa" w:w="4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>Źródło ciepła (np. pompa ciepła)</w:t>
            </w:r>
          </w:p>
        </w:tc>
        <w:tc>
          <w:tcPr>
            <w:tcW w:type="dxa" w:w="2238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>5</w:t>
            </w:r>
          </w:p>
        </w:tc>
        <w:tc>
          <w:tcPr>
            <w:tcW w:type="dxa" w:w="4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>OZE (fotowoltaika, c.w.u.)</w:t>
            </w:r>
          </w:p>
        </w:tc>
        <w:tc>
          <w:tcPr>
            <w:tcW w:type="dxa" w:w="2238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r>
              <w:rPr>
                <w:sz w:val="18"/>
                <w:szCs w:val="18"/>
              </w:rPr>
              <w:t xml:space="preserve"/>
            </w:r>
          </w:p>
        </w:tc>
      </w:tr>
    </w:tbl>
    <w:p>
      <w:pPr>
        <w:pStyle w:val="Heading2"/>
      </w:pPr>
      <w:r>
        <w:t xml:space="preserve">§3. Ryzyka i środki ostrożności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Ryzyko wilgoci / kondensacji — zapewnienie wentylacji adekwatnej do szczelności.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Kolejność: nie montować źródła ciepła przed redukcją strat (właściwy dobór mocy).</w:t>
      </w:r>
    </w:p>
    <w:p>
      <w:pPr>
        <w:pStyle w:val="Heading2"/>
      </w:pPr>
      <w:r>
        <w:t xml:space="preserve">§4. Harmonogram i dotacje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Harmonogram etapów: [……………].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Dokumenty do rozliczenia dotacji: Karta oceny, niniejszy Plan, faktury, protokoły odbioru i rozruchu.</w:t>
      </w:r>
    </w:p>
    <w:p>
      <w:pPr>
        <w:spacing w:after="120"/>
      </w:pPr>
      <w:r>
        <w:t xml:space="preserve"/>
      </w:r>
    </w:p>
    <w:tbl>
      <w:tblPr>
        <w:tblW w:type="dxa" w:w="9638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type="dxa" w:w="400"/>
              <w:left w:type="dxa" w:w="100"/>
              <w:right w:type="dxa" w:w="100"/>
            </w:tcMar>
          </w:tcPr>
          <w:p>
            <w:pPr>
              <w:pBdr>
                <w:top w:val="single" w:color="999999" w:sz="6" w:space="4"/>
              </w:pBdr>
            </w:pPr>
            <w:r>
              <w:rPr>
                <w:color w:val="6B7280"/>
                <w:sz w:val="19"/>
                <w:szCs w:val="19"/>
              </w:rPr>
              <w:t xml:space="preserve">Właściciel budynku</w:t>
            </w:r>
          </w:p>
        </w:tc>
        <w:tc>
          <w:tcPr>
            <w:tcW w:type="dxa" w:w="4819"/>
            <w:tcMar>
              <w:top w:type="dxa" w:w="400"/>
              <w:left w:type="dxa" w:w="100"/>
              <w:right w:type="dxa" w:w="100"/>
            </w:tcMar>
          </w:tcPr>
          <w:p>
            <w:pPr>
              <w:pBdr>
                <w:top w:val="single" w:color="999999" w:sz="6" w:space="4"/>
              </w:pBdr>
            </w:pPr>
            <w:r>
              <w:rPr>
                <w:color w:val="6B7280"/>
                <w:sz w:val="19"/>
                <w:szCs w:val="19"/>
              </w:rPr>
              <w:t xml:space="preserve">Wykonawca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6B7280"/>
        <w:sz w:val="16"/>
        <w:szCs w:val="16"/>
      </w:rPr>
      <w:t xml:space="preserve">Strona </w:t>
    </w:r>
    <w:r>
      <w:rPr>
        <w:color w:val="6B72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6B7280"/>
        <w:sz w:val="16"/>
        <w:szCs w:val="16"/>
      </w:rPr>
      <w:t xml:space="preserve"> · Wzór niewiążący — uzupełnij dane i dostosuj do zlecenia. Multicert Sp. z o.o.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6B7280"/>
        <w:sz w:val="16"/>
        <w:szCs w:val="16"/>
      </w:rPr>
      <w:t xml:space="preserve">Wzór dokumentu · standard </w:t>
    </w:r>
    <w:r>
      <w:rPr>
        <w:b/>
        <w:bCs/>
        <w:color w:val="B11A1A"/>
        <w:sz w:val="16"/>
        <w:szCs w:val="16"/>
      </w:rPr>
      <w:t xml:space="preserve">Pewna Ekipa</w:t>
    </w:r>
    <w:r>
      <w:rPr>
        <w:color w:val="6B7280"/>
        <w:sz w:val="16"/>
        <w:szCs w:val="16"/>
      </w:rPr>
      <w:t xml:space="preserve"> · MS-REM 001:2026 · Multicert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34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28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Arial" w:cs="Arial" w:eastAsia="Arial" w:hAnsi="Arial"/>
      <w:b/>
      <w:bCs/>
      <w:color w:val="1B2A4A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2026-06-13T05:16:05.726Z</dcterms:created>
  <dcterms:modified xsi:type="dcterms:W3CDTF">2026-06-13T05:16:05.726Z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