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6"/>
          <w:szCs w:val="36"/>
        </w:rPr>
        <w:t xml:space="preserve">KOSZTORYS / SPECYFIKACJA PRAC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(załącznik nr 2 do umowy o remont)</w:t>
      </w:r>
    </w:p>
    <w:p>
      <w:pPr>
        <w:spacing w:after="120"/>
      </w:pPr>
      <w:r>
        <w:rPr>
          <w:b/>
          <w:bCs/>
        </w:rPr>
        <w:t xml:space="preserve">Zamawiający: </w:t>
      </w:r>
      <w:r>
        <w:rPr>
          <w:color w:val="6B7280"/>
        </w:rPr>
        <w:t xml:space="preserve">[……………]</w:t>
      </w:r>
      <w:r>
        <w:rPr>
          <w:b/>
          <w:bCs/>
        </w:rPr>
        <w:t xml:space="preserve">    Wykonawca: </w:t>
      </w:r>
      <w:r>
        <w:rPr>
          <w:color w:val="6B7280"/>
        </w:rPr>
        <w:t xml:space="preserve">[……………]</w:t>
      </w:r>
    </w:p>
    <w:p>
      <w:pPr>
        <w:spacing w:after="120"/>
      </w:pPr>
      <w:r>
        <w:rPr>
          <w:b/>
          <w:bCs/>
        </w:rPr>
        <w:t xml:space="preserve">Adres prac: </w:t>
      </w:r>
      <w:r>
        <w:rPr>
          <w:color w:val="6B7280"/>
        </w:rPr>
        <w:t xml:space="preserve">[……………]</w:t>
      </w:r>
      <w:r>
        <w:t xml:space="preserve">    Data: </w:t>
      </w:r>
      <w:r>
        <w:rPr>
          <w:color w:val="6B7280"/>
        </w:rPr>
        <w:t xml:space="preserve">[……………]</w:t>
      </w:r>
    </w:p>
    <w:p>
      <w:pPr>
        <w:pStyle w:val="Heading2"/>
      </w:pPr>
      <w:r>
        <w:t xml:space="preserve">Robocizna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00"/>
        <w:gridCol w:w="1200"/>
        <w:gridCol w:w="1100"/>
        <w:gridCol w:w="1138"/>
        <w:gridCol w:w="1200"/>
      </w:tblGrid>
      <w:tr>
        <w:trPr>
          <w:tblHeader/>
        </w:trPr>
        <w:tc>
          <w:tcPr>
            <w:tcW w:type="dxa" w:w="6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Lp.</w:t>
            </w:r>
          </w:p>
        </w:tc>
        <w:tc>
          <w:tcPr>
            <w:tcW w:type="dxa" w:w="44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Opis prac</w:t>
            </w:r>
          </w:p>
        </w:tc>
        <w:tc>
          <w:tcPr>
            <w:tcW w:type="dxa" w:w="12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Jedn.</w:t>
            </w:r>
          </w:p>
        </w:tc>
        <w:tc>
          <w:tcPr>
            <w:tcW w:type="dxa" w:w="11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Ilość</w:t>
            </w:r>
          </w:p>
        </w:tc>
        <w:tc>
          <w:tcPr>
            <w:tcW w:type="dxa" w:w="11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Cena jedn.</w:t>
            </w:r>
          </w:p>
        </w:tc>
        <w:tc>
          <w:tcPr>
            <w:tcW w:type="dxa" w:w="12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Wartość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m² / szt. / rbg</w:t>
            </w:r>
          </w:p>
        </w:tc>
        <w:tc>
          <w:tcPr>
            <w:tcW w:type="dxa" w:w="1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Razem robocizna (netto)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Materiały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00"/>
        <w:gridCol w:w="1200"/>
        <w:gridCol w:w="1100"/>
        <w:gridCol w:w="1138"/>
        <w:gridCol w:w="1200"/>
      </w:tblGrid>
      <w:tr>
        <w:trPr>
          <w:tblHeader/>
        </w:trPr>
        <w:tc>
          <w:tcPr>
            <w:tcW w:type="dxa" w:w="6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Lp.</w:t>
            </w:r>
          </w:p>
        </w:tc>
        <w:tc>
          <w:tcPr>
            <w:tcW w:type="dxa" w:w="44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Materiał</w:t>
            </w:r>
          </w:p>
        </w:tc>
        <w:tc>
          <w:tcPr>
            <w:tcW w:type="dxa" w:w="12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Jedn.</w:t>
            </w:r>
          </w:p>
        </w:tc>
        <w:tc>
          <w:tcPr>
            <w:tcW w:type="dxa" w:w="11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Ilość</w:t>
            </w:r>
          </w:p>
        </w:tc>
        <w:tc>
          <w:tcPr>
            <w:tcW w:type="dxa" w:w="11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Cena jedn.</w:t>
            </w:r>
          </w:p>
        </w:tc>
        <w:tc>
          <w:tcPr>
            <w:tcW w:type="dxa" w:w="12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Wartość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szt. / m² / kg</w:t>
            </w:r>
          </w:p>
        </w:tc>
        <w:tc>
          <w:tcPr>
            <w:tcW w:type="dxa" w:w="1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Razem materiały (netto)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Podsumowanie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38"/>
        <w:gridCol w:w="2700"/>
      </w:tblGrid>
      <w:tr>
        <w:trPr>
          <w:tblHeader/>
        </w:trPr>
        <w:tc>
          <w:tcPr>
            <w:tcW w:type="dxa" w:w="69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Pozycja</w:t>
            </w:r>
          </w:p>
        </w:tc>
        <w:tc>
          <w:tcPr>
            <w:tcW w:type="dxa" w:w="27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Kwota</w:t>
            </w:r>
          </w:p>
        </w:tc>
      </w:tr>
      <w:tr>
        <w:tc>
          <w:tcPr>
            <w:tcW w:type="dxa" w:w="69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Robocizna (netto)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9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Materiały (netto)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9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Razem netto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9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VAT (8% / 23%)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9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RAZEM BRUTTO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  <w:color w:val="B11A1A"/>
        </w:rPr>
        <w:t xml:space="preserve">Uwaga: </w:t>
      </w:r>
      <w:r>
        <w:t xml:space="preserve">stawka VAT 8% dotyczy robót w budownictwie objętym społecznym programem mieszkaniowym — lokale mieszkalne do 120 m² oraz domy jednorodzinne do 300 m². Powyżej limitu: 8% do limitu powierzchni, 23% od nadwyżki (proporcjonalnie). Uzasadnienie stawki 8% wymaga umowy z lokalizacją, zakresem, terminem, danymi stron i powierzchnią obiektu.</w:t>
      </w:r>
    </w:p>
    <w:p>
      <w:pPr>
        <w:spacing w:after="120"/>
      </w:pPr>
      <w:r>
        <w:t xml:space="preserve"/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Zamawiający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Wykonawca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2026-06-13T05:16:05.708Z</dcterms:created>
  <dcterms:modified xsi:type="dcterms:W3CDTF">2026-06-13T05:16:05.708Z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